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TA Chapter Heading"/>
      </w:pPr>
      <w:r>
        <w:rPr>
          <w:rtl w:val="0"/>
          <w:lang w:val="en-US"/>
        </w:rPr>
        <w:t xml:space="preserve">Anti-Bullying policy </w:t>
      </w:r>
    </w:p>
    <w:p>
      <w:pPr>
        <w:pStyle w:val="Body"/>
        <w:tabs>
          <w:tab w:val="left" w:pos="1418"/>
        </w:tabs>
        <w:jc w:val="both"/>
        <w:rPr>
          <w:sz w:val="24"/>
          <w:szCs w:val="24"/>
        </w:rPr>
      </w:pPr>
      <w:r>
        <w:rPr>
          <w:sz w:val="24"/>
          <w:szCs w:val="24"/>
          <w:rtl w:val="0"/>
          <w:lang w:val="en-US"/>
        </w:rPr>
        <w:t xml:space="preserve">The </w:t>
      </w:r>
      <w:r>
        <w:rPr>
          <w:sz w:val="24"/>
          <w:szCs w:val="24"/>
          <w:rtl w:val="0"/>
          <w:lang w:val="en-US"/>
        </w:rPr>
        <w:t xml:space="preserve">[club/county] </w:t>
      </w:r>
      <w:r>
        <w:rPr>
          <w:sz w:val="24"/>
          <w:szCs w:val="24"/>
          <w:rtl w:val="0"/>
          <w:lang w:val="en-US"/>
        </w:rPr>
        <w:t xml:space="preserve">strives to ensure that all children (anyone under 18) and adults at risk are safeguarded from abuse and have an enjoyable tennis experience. </w:t>
      </w:r>
    </w:p>
    <w:p>
      <w:pPr>
        <w:pStyle w:val="Body"/>
        <w:jc w:val="both"/>
        <w:rPr>
          <w:sz w:val="24"/>
          <w:szCs w:val="24"/>
        </w:rPr>
      </w:pPr>
    </w:p>
    <w:p>
      <w:pPr>
        <w:pStyle w:val="Body"/>
        <w:jc w:val="both"/>
        <w:rPr>
          <w:sz w:val="24"/>
          <w:szCs w:val="24"/>
        </w:rPr>
      </w:pPr>
      <w:r>
        <w:rPr>
          <w:sz w:val="24"/>
          <w:szCs w:val="24"/>
          <w:rtl w:val="0"/>
          <w:lang w:val="en-US"/>
        </w:rPr>
        <w:t xml:space="preserve">Bullying is defined as a range of abusive behaviour that is repeated and intended to hurt someone either physically or emotionally. </w:t>
      </w:r>
    </w:p>
    <w:p>
      <w:pPr>
        <w:pStyle w:val="Body"/>
        <w:jc w:val="both"/>
        <w:rPr>
          <w:sz w:val="24"/>
          <w:szCs w:val="24"/>
        </w:rPr>
      </w:pPr>
    </w:p>
    <w:p>
      <w:pPr>
        <w:pStyle w:val="Body"/>
        <w:jc w:val="both"/>
        <w:rPr>
          <w:sz w:val="24"/>
          <w:szCs w:val="24"/>
        </w:rPr>
      </w:pPr>
      <w:r>
        <w:rPr>
          <w:sz w:val="24"/>
          <w:szCs w:val="24"/>
          <w:rtl w:val="0"/>
          <w:lang w:val="en-US"/>
        </w:rPr>
        <w:t xml:space="preserve">This document sets out how to help prevent bullying from happening to all children and adults at risk.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 </w:t>
      </w:r>
    </w:p>
    <w:p>
      <w:pPr>
        <w:pStyle w:val="Body"/>
        <w:tabs>
          <w:tab w:val="left" w:pos="1418"/>
        </w:tabs>
        <w:jc w:val="both"/>
        <w:rPr>
          <w:sz w:val="24"/>
          <w:szCs w:val="24"/>
        </w:rPr>
      </w:pPr>
    </w:p>
    <w:p>
      <w:pPr>
        <w:pStyle w:val="Body"/>
        <w:tabs>
          <w:tab w:val="left" w:pos="1418"/>
        </w:tabs>
        <w:jc w:val="both"/>
        <w:rPr>
          <w:sz w:val="24"/>
          <w:szCs w:val="24"/>
        </w:rPr>
      </w:pPr>
      <w:r>
        <w:rPr>
          <w:sz w:val="24"/>
          <w:szCs w:val="24"/>
          <w:rtl w:val="0"/>
          <w:lang w:val="en-US"/>
        </w:rPr>
        <w:t>This policy applies to all staff, coaches, volunteers and other adults associated with [club/county].</w:t>
      </w:r>
    </w:p>
    <w:p>
      <w:pPr>
        <w:pStyle w:val="Body"/>
        <w:rPr>
          <w:sz w:val="24"/>
          <w:szCs w:val="24"/>
        </w:rPr>
      </w:pPr>
    </w:p>
    <w:p>
      <w:pPr>
        <w:pStyle w:val="Body"/>
        <w:rPr>
          <w:sz w:val="24"/>
          <w:szCs w:val="24"/>
        </w:rPr>
      </w:pPr>
    </w:p>
    <w:p>
      <w:pPr>
        <w:pStyle w:val="Default"/>
        <w:tabs>
          <w:tab w:val="left" w:pos="1418"/>
        </w:tabs>
        <w:rPr>
          <w:rFonts w:ascii="Arial" w:cs="Arial" w:hAnsi="Arial" w:eastAsia="Arial"/>
          <w:sz w:val="28"/>
          <w:szCs w:val="28"/>
        </w:rPr>
      </w:pPr>
      <w:r>
        <w:rPr>
          <w:rFonts w:ascii="Arial" w:hAnsi="Arial"/>
          <w:b w:val="1"/>
          <w:bCs w:val="1"/>
          <w:sz w:val="28"/>
          <w:szCs w:val="28"/>
          <w:rtl w:val="0"/>
          <w:lang w:val="en-US"/>
        </w:rPr>
        <w:t>We recognise that</w:t>
      </w:r>
    </w:p>
    <w:p>
      <w:pPr>
        <w:pStyle w:val="List Paragraph"/>
        <w:numPr>
          <w:ilvl w:val="0"/>
          <w:numId w:val="2"/>
        </w:numPr>
        <w:bidi w:val="0"/>
        <w:ind w:right="0"/>
        <w:jc w:val="both"/>
        <w:rPr>
          <w:sz w:val="24"/>
          <w:szCs w:val="24"/>
          <w:rtl w:val="0"/>
          <w:lang w:val="en-US"/>
        </w:rPr>
      </w:pPr>
      <w:r>
        <w:rPr>
          <w:sz w:val="24"/>
          <w:szCs w:val="24"/>
          <w:rtl w:val="0"/>
          <w:lang w:val="en-US"/>
        </w:rPr>
        <w:t>Bullying causes real distress. It can affect a person</w:t>
      </w:r>
      <w:r>
        <w:rPr>
          <w:sz w:val="24"/>
          <w:szCs w:val="24"/>
          <w:rtl w:val="0"/>
          <w:lang w:val="en-US"/>
        </w:rPr>
        <w:t>’</w:t>
      </w:r>
      <w:r>
        <w:rPr>
          <w:sz w:val="24"/>
          <w:szCs w:val="24"/>
          <w:rtl w:val="0"/>
          <w:lang w:val="en-US"/>
        </w:rPr>
        <w:t>s health and development and, at the</w:t>
      </w:r>
      <w:r>
        <w:rPr>
          <w:sz w:val="22"/>
          <w:szCs w:val="22"/>
          <w:rtl w:val="0"/>
          <w:lang w:val="en-US"/>
        </w:rPr>
        <w:t xml:space="preserve"> </w:t>
      </w:r>
      <w:r>
        <w:rPr>
          <w:sz w:val="24"/>
          <w:szCs w:val="24"/>
          <w:rtl w:val="0"/>
          <w:lang w:val="en-US"/>
        </w:rPr>
        <w:t>extreme, can cause significant harm</w:t>
      </w:r>
    </w:p>
    <w:p>
      <w:pPr>
        <w:pStyle w:val="List Paragraph"/>
        <w:numPr>
          <w:ilvl w:val="0"/>
          <w:numId w:val="4"/>
        </w:numPr>
        <w:bidi w:val="0"/>
        <w:ind w:right="0"/>
        <w:jc w:val="both"/>
        <w:rPr>
          <w:sz w:val="24"/>
          <w:szCs w:val="24"/>
          <w:rtl w:val="0"/>
          <w:lang w:val="en-US"/>
        </w:rPr>
      </w:pPr>
      <w:r>
        <w:rPr>
          <w:sz w:val="24"/>
          <w:szCs w:val="24"/>
          <w:rtl w:val="0"/>
          <w:lang w:val="en-US"/>
        </w:rPr>
        <w:t>All children and adults at risk, regardless of age, disability, gender reassignment, race, religion or belief, sex or sexual orientation, have the right to equal protection from all types of harm or abuse</w:t>
      </w:r>
    </w:p>
    <w:p>
      <w:pPr>
        <w:pStyle w:val="List Paragraph"/>
        <w:numPr>
          <w:ilvl w:val="0"/>
          <w:numId w:val="4"/>
        </w:numPr>
        <w:bidi w:val="0"/>
        <w:ind w:right="0"/>
        <w:jc w:val="both"/>
        <w:rPr>
          <w:sz w:val="24"/>
          <w:szCs w:val="24"/>
          <w:rtl w:val="0"/>
          <w:lang w:val="en-US"/>
        </w:rPr>
      </w:pPr>
      <w:r>
        <w:rPr>
          <w:sz w:val="24"/>
          <w:szCs w:val="24"/>
          <w:rtl w:val="0"/>
          <w:lang w:val="en-US"/>
        </w:rPr>
        <w:t>Everyone has a role to play in preventing all forms of bullying (including online) and putting a stop to bullying.</w:t>
      </w:r>
    </w:p>
    <w:p>
      <w:pPr>
        <w:pStyle w:val="Body"/>
        <w:jc w:val="both"/>
      </w:pPr>
    </w:p>
    <w:p>
      <w:pPr>
        <w:pStyle w:val="Body"/>
        <w:jc w:val="both"/>
      </w:pPr>
    </w:p>
    <w:p>
      <w:pPr>
        <w:pStyle w:val="Default"/>
        <w:tabs>
          <w:tab w:val="left" w:pos="1418"/>
        </w:tabs>
        <w:jc w:val="both"/>
        <w:rPr>
          <w:rFonts w:ascii="Arial" w:cs="Arial" w:hAnsi="Arial" w:eastAsia="Arial"/>
          <w:sz w:val="28"/>
          <w:szCs w:val="28"/>
        </w:rPr>
      </w:pPr>
      <w:r>
        <w:rPr>
          <w:rFonts w:ascii="Arial" w:hAnsi="Arial"/>
          <w:b w:val="1"/>
          <w:bCs w:val="1"/>
          <w:sz w:val="28"/>
          <w:szCs w:val="28"/>
          <w:rtl w:val="0"/>
          <w:lang w:val="en-US"/>
        </w:rPr>
        <w:t>We will seek to keep children and adults at risk safe by</w:t>
      </w:r>
    </w:p>
    <w:p>
      <w:pPr>
        <w:pStyle w:val="List Paragraph"/>
        <w:numPr>
          <w:ilvl w:val="0"/>
          <w:numId w:val="6"/>
        </w:numPr>
        <w:bidi w:val="0"/>
        <w:ind w:right="0"/>
        <w:jc w:val="both"/>
        <w:rPr>
          <w:sz w:val="24"/>
          <w:szCs w:val="24"/>
          <w:rtl w:val="0"/>
          <w:lang w:val="en-US"/>
        </w:rPr>
      </w:pPr>
      <w:r>
        <w:rPr>
          <w:sz w:val="24"/>
          <w:szCs w:val="24"/>
          <w:rtl w:val="0"/>
          <w:lang w:val="en-US"/>
        </w:rPr>
        <w:t>Recognising that bullying is closely related to how we respect and recognise the value of diversity.</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Recognising our duty of care and responsibility towards safeguarding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Promoting and implement this anti-bullying policy in addition to our safeguarding policy and procedures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Ensuring that bullying behaviour is not tolerated or condoned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Taking action to respond and deal with any reports of bullying towards children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Encouraging children to play a part in developing and adopting appropriate behaviours</w:t>
      </w:r>
    </w:p>
    <w:p>
      <w:pPr>
        <w:pStyle w:val="List Paragraph"/>
        <w:numPr>
          <w:ilvl w:val="0"/>
          <w:numId w:val="6"/>
        </w:numPr>
        <w:bidi w:val="0"/>
        <w:ind w:right="0"/>
        <w:jc w:val="both"/>
        <w:rPr>
          <w:sz w:val="24"/>
          <w:szCs w:val="24"/>
          <w:rtl w:val="0"/>
          <w:lang w:val="en-US"/>
        </w:rPr>
      </w:pPr>
      <w:r>
        <w:rPr>
          <w:sz w:val="24"/>
          <w:szCs w:val="24"/>
          <w:rtl w:val="0"/>
          <w:lang w:val="en-US"/>
        </w:rPr>
        <w:t>Making sure our response to incidents of bullying takes into account:</w:t>
      </w:r>
    </w:p>
    <w:p>
      <w:pPr>
        <w:pStyle w:val="List Paragraph"/>
        <w:numPr>
          <w:ilvl w:val="1"/>
          <w:numId w:val="6"/>
        </w:numPr>
        <w:bidi w:val="0"/>
        <w:ind w:right="0"/>
        <w:jc w:val="both"/>
        <w:rPr>
          <w:sz w:val="24"/>
          <w:szCs w:val="24"/>
          <w:rtl w:val="0"/>
          <w:lang w:val="en-US"/>
        </w:rPr>
      </w:pPr>
      <w:r>
        <w:rPr>
          <w:sz w:val="24"/>
          <w:szCs w:val="24"/>
          <w:rtl w:val="0"/>
          <w:lang w:val="en-US"/>
        </w:rPr>
        <w:t>the needs of the person being bullied</w:t>
      </w:r>
    </w:p>
    <w:p>
      <w:pPr>
        <w:pStyle w:val="List Paragraph"/>
        <w:numPr>
          <w:ilvl w:val="1"/>
          <w:numId w:val="6"/>
        </w:numPr>
        <w:bidi w:val="0"/>
        <w:ind w:right="0"/>
        <w:jc w:val="both"/>
        <w:rPr>
          <w:sz w:val="24"/>
          <w:szCs w:val="24"/>
          <w:rtl w:val="0"/>
          <w:lang w:val="en-US"/>
        </w:rPr>
      </w:pPr>
      <w:r>
        <w:rPr>
          <w:sz w:val="24"/>
          <w:szCs w:val="24"/>
          <w:rtl w:val="0"/>
          <w:lang w:val="en-US"/>
        </w:rPr>
        <w:t>the needs of the person displaying bullying behaviour</w:t>
      </w:r>
    </w:p>
    <w:p>
      <w:pPr>
        <w:pStyle w:val="List Paragraph"/>
        <w:numPr>
          <w:ilvl w:val="1"/>
          <w:numId w:val="6"/>
        </w:numPr>
        <w:bidi w:val="0"/>
        <w:ind w:right="0"/>
        <w:jc w:val="both"/>
        <w:rPr>
          <w:sz w:val="24"/>
          <w:szCs w:val="24"/>
          <w:rtl w:val="0"/>
          <w:lang w:val="en-US"/>
        </w:rPr>
      </w:pPr>
      <w:r>
        <w:rPr>
          <w:sz w:val="24"/>
          <w:szCs w:val="24"/>
          <w:rtl w:val="0"/>
          <w:lang w:val="en-US"/>
        </w:rPr>
        <w:t>the needs of others who may be affected</w:t>
      </w:r>
    </w:p>
    <w:p>
      <w:pPr>
        <w:pStyle w:val="List Paragraph"/>
        <w:numPr>
          <w:ilvl w:val="1"/>
          <w:numId w:val="6"/>
        </w:numPr>
        <w:bidi w:val="0"/>
        <w:ind w:right="0"/>
        <w:jc w:val="both"/>
        <w:rPr>
          <w:sz w:val="24"/>
          <w:szCs w:val="24"/>
          <w:rtl w:val="0"/>
          <w:lang w:val="en-US"/>
        </w:rPr>
      </w:pPr>
      <w:r>
        <w:rPr>
          <w:sz w:val="24"/>
          <w:szCs w:val="24"/>
          <w:rtl w:val="0"/>
          <w:lang w:val="en-US"/>
        </w:rPr>
        <w:t>our [club/county] as a whole</w:t>
      </w:r>
    </w:p>
    <w:p>
      <w:pPr>
        <w:pStyle w:val="Default"/>
        <w:jc w:val="both"/>
        <w:rPr>
          <w:b w:val="1"/>
          <w:bCs w:val="1"/>
        </w:rPr>
      </w:pPr>
    </w:p>
    <w:p>
      <w:pPr>
        <w:pStyle w:val="Default"/>
        <w:jc w:val="both"/>
        <w:rPr>
          <w:rFonts w:ascii="Arial" w:cs="Arial" w:hAnsi="Arial" w:eastAsia="Arial"/>
          <w:sz w:val="28"/>
          <w:szCs w:val="28"/>
        </w:rPr>
      </w:pPr>
      <w:r>
        <w:rPr>
          <w:rFonts w:ascii="Arial" w:hAnsi="Arial"/>
          <w:b w:val="1"/>
          <w:bCs w:val="1"/>
          <w:sz w:val="28"/>
          <w:szCs w:val="28"/>
          <w:rtl w:val="0"/>
          <w:lang w:val="en-US"/>
        </w:rPr>
        <w:t xml:space="preserve">Players, parents, coaches, volunteers and other members of staff will: </w:t>
      </w:r>
    </w:p>
    <w:p>
      <w:pPr>
        <w:pStyle w:val="List Paragraph"/>
        <w:numPr>
          <w:ilvl w:val="0"/>
          <w:numId w:val="8"/>
        </w:numPr>
        <w:bidi w:val="0"/>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Encourage individuals to speak out about bullying behaviour and report incidents of bullying behaviour they see to the Welfare Officer / County Safeguarding Officer (or suitable alternative county representative, e.g. county coach, tournament organiser etc).</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Respect every child</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need for, and right to, a play environment where safety, security, praise, recognition and opportunity for taking responsibility are available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Respect the feelings and views of others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Recognise that everyone is important and equal, and that our differences make each of us special and worthy of being valued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Show appreciation of others by acknowledging individual qualities, contributions and progress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Ensure safety by having rules and practices carefully explained and displayed for all to see </w:t>
      </w:r>
    </w:p>
    <w:p>
      <w:pPr>
        <w:pStyle w:val="Body"/>
        <w:jc w:val="both"/>
      </w:pPr>
    </w:p>
    <w:p>
      <w:pPr>
        <w:pStyle w:val="Body"/>
        <w:jc w:val="both"/>
      </w:pPr>
    </w:p>
    <w:p>
      <w:pPr>
        <w:pStyle w:val="Body"/>
        <w:jc w:val="both"/>
        <w:rPr>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 xml:space="preserve">Supporting children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We</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ll let children know who will listen to and support them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We</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ll create an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open door</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ethos where children feel confident to talk to an adult about bullying behaviour</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Potential barriers to talking (including those associated with a child</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disability or impairment) will be acknowledged and addressed at the outset to enable children to speak out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Anyone who reports an incident of bullying will be listened to carefully and reports will be taken seriously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Any reported experience of bullying behaviour will be investigated and will involve listening carefully to all those involved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Children experiencing bullying behaviour will be supported and helped to uphold their right to play and live in a safe environment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Those who display bullying behaviour will be supported and encouraged to develop better relationships </w:t>
      </w:r>
    </w:p>
    <w:p>
      <w:pPr>
        <w:pStyle w:val="List Paragraph"/>
        <w:numPr>
          <w:ilvl w:val="0"/>
          <w:numId w:val="8"/>
        </w:numPr>
        <w:bidi w:val="0"/>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We</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ll make sure that any sanctions are proportionate and fair </w:t>
      </w:r>
    </w:p>
    <w:p>
      <w:pPr>
        <w:pStyle w:val="Body"/>
        <w:jc w:val="both"/>
        <w:rPr>
          <w:outline w:val="0"/>
          <w:color w:val="000000"/>
          <w:sz w:val="20"/>
          <w:szCs w:val="20"/>
          <w:u w:color="000000"/>
          <w14:textFill>
            <w14:solidFill>
              <w14:srgbClr w14:val="000000"/>
            </w14:solidFill>
          </w14:textFill>
        </w:rPr>
      </w:pPr>
    </w:p>
    <w:p>
      <w:pPr>
        <w:pStyle w:val="Body"/>
        <w:jc w:val="both"/>
        <w:rPr>
          <w:outline w:val="0"/>
          <w:color w:val="000000"/>
          <w:sz w:val="20"/>
          <w:szCs w:val="20"/>
          <w:u w:color="000000"/>
          <w14:textFill>
            <w14:solidFill>
              <w14:srgbClr w14:val="000000"/>
            </w14:solidFill>
          </w14:textFill>
        </w:rPr>
      </w:pPr>
    </w:p>
    <w:p>
      <w:pPr>
        <w:pStyle w:val="Body"/>
        <w:jc w:val="both"/>
        <w:rPr>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 xml:space="preserve">Support to the parents/carers </w:t>
      </w:r>
    </w:p>
    <w:p>
      <w:pPr>
        <w:pStyle w:val="List Paragraph"/>
        <w:numPr>
          <w:ilvl w:val="0"/>
          <w:numId w:val="8"/>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Any experience of bullying behaviour will be discussed with the child</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parents or carers </w:t>
      </w:r>
    </w:p>
    <w:p>
      <w:pPr>
        <w:pStyle w:val="List Paragraph"/>
        <w:numPr>
          <w:ilvl w:val="0"/>
          <w:numId w:val="8"/>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Parents will be consulted on action to be taken (for both victim and bully)</w:t>
      </w:r>
    </w:p>
    <w:p>
      <w:pPr>
        <w:pStyle w:val="List Paragraph"/>
        <w:numPr>
          <w:ilvl w:val="0"/>
          <w:numId w:val="8"/>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Information and advice on coping with bullying will be made available </w:t>
      </w:r>
    </w:p>
    <w:p>
      <w:pPr>
        <w:pStyle w:val="List Paragraph"/>
        <w:numPr>
          <w:ilvl w:val="0"/>
          <w:numId w:val="8"/>
        </w:numPr>
        <w:bidi w:val="0"/>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Support will be offered to parents, including information from other agencies or support lines </w:t>
      </w:r>
    </w:p>
    <w:p>
      <w:pPr>
        <w:pStyle w:val="Body"/>
        <w:jc w:val="both"/>
        <w:rPr>
          <w:sz w:val="24"/>
          <w:szCs w:val="24"/>
        </w:rPr>
      </w:pPr>
    </w:p>
    <w:p>
      <w:pPr>
        <w:pStyle w:val="Body"/>
        <w:jc w:val="both"/>
        <w:rPr>
          <w:sz w:val="24"/>
          <w:szCs w:val="24"/>
        </w:rPr>
      </w:pPr>
    </w:p>
    <w:p>
      <w:pPr>
        <w:pStyle w:val="Body"/>
        <w:tabs>
          <w:tab w:val="left" w:pos="1418"/>
        </w:tabs>
        <w:jc w:val="both"/>
        <w:rPr>
          <w:b w:val="1"/>
          <w:bCs w:val="1"/>
          <w:sz w:val="28"/>
          <w:szCs w:val="28"/>
        </w:rPr>
      </w:pPr>
      <w:r>
        <w:rPr>
          <w:b w:val="1"/>
          <w:bCs w:val="1"/>
          <w:sz w:val="28"/>
          <w:szCs w:val="28"/>
          <w:rtl w:val="0"/>
          <w:lang w:val="en-US"/>
        </w:rPr>
        <w:t xml:space="preserve">Related policies and procedures </w:t>
      </w:r>
    </w:p>
    <w:p>
      <w:pPr>
        <w:pStyle w:val="Body"/>
        <w:tabs>
          <w:tab w:val="left" w:pos="1418"/>
        </w:tabs>
        <w:jc w:val="both"/>
        <w:rPr>
          <w:sz w:val="24"/>
          <w:szCs w:val="24"/>
        </w:rPr>
      </w:pPr>
      <w:r>
        <w:rPr>
          <w:sz w:val="24"/>
          <w:szCs w:val="24"/>
          <w:rtl w:val="0"/>
          <w:lang w:val="en-US"/>
        </w:rPr>
        <w:t xml:space="preserve">This policy should be read alongside our [club/county] policies and procedures, including: </w:t>
      </w:r>
    </w:p>
    <w:p>
      <w:pPr>
        <w:pStyle w:val="List Paragraph"/>
        <w:numPr>
          <w:ilvl w:val="0"/>
          <w:numId w:val="10"/>
        </w:numPr>
        <w:bidi w:val="0"/>
        <w:ind w:right="0"/>
        <w:jc w:val="both"/>
        <w:rPr>
          <w:sz w:val="24"/>
          <w:szCs w:val="24"/>
          <w:rtl w:val="0"/>
          <w:lang w:val="en-US"/>
        </w:rPr>
      </w:pPr>
      <w:r>
        <w:rPr>
          <w:sz w:val="24"/>
          <w:szCs w:val="24"/>
          <w:rtl w:val="0"/>
          <w:lang w:val="en-US"/>
        </w:rPr>
        <w:t>Safeguarding policy</w:t>
      </w:r>
    </w:p>
    <w:p>
      <w:pPr>
        <w:pStyle w:val="List Paragraph"/>
        <w:numPr>
          <w:ilvl w:val="0"/>
          <w:numId w:val="10"/>
        </w:numPr>
        <w:bidi w:val="0"/>
        <w:ind w:right="0"/>
        <w:jc w:val="both"/>
        <w:rPr>
          <w:sz w:val="24"/>
          <w:szCs w:val="24"/>
          <w:rtl w:val="0"/>
          <w:lang w:val="en-US"/>
        </w:rPr>
      </w:pPr>
      <w:r>
        <w:rPr>
          <w:sz w:val="24"/>
          <w:szCs w:val="24"/>
          <w:rtl w:val="0"/>
          <w:lang w:val="en-US"/>
        </w:rPr>
        <w:t>Diversity and inclusion policy</w:t>
      </w:r>
    </w:p>
    <w:p>
      <w:pPr>
        <w:pStyle w:val="List Paragraph"/>
        <w:numPr>
          <w:ilvl w:val="0"/>
          <w:numId w:val="10"/>
        </w:numPr>
        <w:bidi w:val="0"/>
        <w:ind w:right="0"/>
        <w:jc w:val="both"/>
        <w:rPr>
          <w:sz w:val="24"/>
          <w:szCs w:val="24"/>
          <w:rtl w:val="0"/>
          <w:lang w:val="en-US"/>
        </w:rPr>
      </w:pPr>
      <w:r>
        <w:rPr>
          <w:sz w:val="24"/>
          <w:szCs w:val="24"/>
          <w:rtl w:val="0"/>
          <w:lang w:val="en-US"/>
        </w:rPr>
        <w:t>Code of conduct for staff and volunteers</w:t>
      </w:r>
    </w:p>
    <w:p>
      <w:pPr>
        <w:pStyle w:val="List Paragraph"/>
        <w:numPr>
          <w:ilvl w:val="0"/>
          <w:numId w:val="10"/>
        </w:numPr>
        <w:bidi w:val="0"/>
        <w:ind w:right="0"/>
        <w:jc w:val="both"/>
        <w:rPr>
          <w:sz w:val="24"/>
          <w:szCs w:val="24"/>
          <w:rtl w:val="0"/>
          <w:lang w:val="en-US"/>
        </w:rPr>
      </w:pPr>
      <w:r>
        <w:rPr>
          <w:sz w:val="24"/>
          <w:szCs w:val="24"/>
          <w:rtl w:val="0"/>
          <w:lang w:val="en-US"/>
        </w:rPr>
        <w:t>Online safety and communication policy</w:t>
      </w:r>
    </w:p>
    <w:p>
      <w:pPr>
        <w:pStyle w:val="List Paragraph"/>
        <w:numPr>
          <w:ilvl w:val="0"/>
          <w:numId w:val="10"/>
        </w:numPr>
        <w:bidi w:val="0"/>
        <w:ind w:right="0"/>
        <w:jc w:val="both"/>
        <w:rPr>
          <w:sz w:val="24"/>
          <w:szCs w:val="24"/>
          <w:rtl w:val="0"/>
          <w:lang w:val="en-US"/>
        </w:rPr>
      </w:pPr>
      <w:r>
        <w:rPr>
          <w:sz w:val="24"/>
          <w:szCs w:val="24"/>
          <w:rtl w:val="0"/>
          <w:lang w:val="en-US"/>
        </w:rPr>
        <w:t>Photography and filming policy</w:t>
      </w:r>
    </w:p>
    <w:p>
      <w:pPr>
        <w:pStyle w:val="Body"/>
        <w:tabs>
          <w:tab w:val="left" w:pos="1418"/>
        </w:tabs>
        <w:jc w:val="both"/>
        <w:rPr>
          <w:sz w:val="24"/>
          <w:szCs w:val="24"/>
        </w:rPr>
      </w:pPr>
    </w:p>
    <w:p>
      <w:pPr>
        <w:pStyle w:val="Body"/>
        <w:tabs>
          <w:tab w:val="left" w:pos="1418"/>
        </w:tabs>
        <w:jc w:val="both"/>
        <w:rPr>
          <w:b w:val="1"/>
          <w:bCs w:val="1"/>
          <w:sz w:val="28"/>
          <w:szCs w:val="28"/>
        </w:rPr>
      </w:pPr>
      <w:r>
        <w:rPr>
          <w:b w:val="1"/>
          <w:bCs w:val="1"/>
          <w:sz w:val="28"/>
          <w:szCs w:val="28"/>
          <w:rtl w:val="0"/>
          <w:lang w:val="en-US"/>
        </w:rPr>
        <w:t>Useful contacts</w:t>
      </w:r>
    </w:p>
    <w:p>
      <w:pPr>
        <w:pStyle w:val="Body"/>
        <w:jc w:val="both"/>
        <w:rPr>
          <w:sz w:val="24"/>
          <w:szCs w:val="24"/>
        </w:rPr>
      </w:pPr>
      <w:r>
        <w:rPr>
          <w:sz w:val="24"/>
          <w:szCs w:val="24"/>
          <w:rtl w:val="0"/>
        </w:rPr>
        <w:t xml:space="preserve">LTA 02084877000 / </w:t>
      </w:r>
      <w:r>
        <w:rPr>
          <w:rStyle w:val="Hyperlink.0"/>
        </w:rPr>
        <w:fldChar w:fldCharType="begin" w:fldLock="0"/>
      </w:r>
      <w:r>
        <w:rPr>
          <w:rStyle w:val="Hyperlink.0"/>
        </w:rPr>
        <w:instrText xml:space="preserve"> HYPERLINK "mailto:safeguarding@lta.org.uk"</w:instrText>
      </w:r>
      <w:r>
        <w:rPr>
          <w:rStyle w:val="Hyperlink.0"/>
        </w:rPr>
        <w:fldChar w:fldCharType="separate" w:fldLock="0"/>
      </w:r>
      <w:r>
        <w:rPr>
          <w:rStyle w:val="Hyperlink.0"/>
          <w:rtl w:val="0"/>
          <w:lang w:val="en-US"/>
        </w:rPr>
        <w:t>safeguarding@lta.org.uk</w:t>
      </w:r>
      <w:r>
        <w:rPr/>
        <w:fldChar w:fldCharType="end" w:fldLock="0"/>
      </w:r>
      <w:r>
        <w:rPr>
          <w:sz w:val="24"/>
          <w:szCs w:val="24"/>
          <w:rtl w:val="0"/>
        </w:rPr>
        <w:t xml:space="preserve"> </w:t>
      </w:r>
    </w:p>
    <w:p>
      <w:pPr>
        <w:pStyle w:val="Body"/>
        <w:jc w:val="both"/>
        <w:rPr>
          <w:sz w:val="24"/>
          <w:szCs w:val="24"/>
        </w:rPr>
      </w:pPr>
      <w:r>
        <w:rPr>
          <w:sz w:val="24"/>
          <w:szCs w:val="24"/>
          <w:rtl w:val="0"/>
          <w:lang w:val="pt-PT"/>
        </w:rPr>
        <w:t xml:space="preserve">NSPCC Helpline 0808 800 5000 </w:t>
      </w:r>
    </w:p>
    <w:p>
      <w:pPr>
        <w:pStyle w:val="Body"/>
        <w:jc w:val="both"/>
        <w:rPr>
          <w:sz w:val="24"/>
          <w:szCs w:val="24"/>
        </w:rPr>
      </w:pPr>
      <w:r>
        <w:rPr>
          <w:sz w:val="24"/>
          <w:szCs w:val="24"/>
          <w:rtl w:val="0"/>
        </w:rPr>
        <w:t xml:space="preserve">Childline 0800 1111 / </w:t>
      </w:r>
      <w:r>
        <w:rPr>
          <w:rStyle w:val="Hyperlink.0"/>
        </w:rPr>
        <w:fldChar w:fldCharType="begin" w:fldLock="0"/>
      </w:r>
      <w:r>
        <w:rPr>
          <w:rStyle w:val="Hyperlink.0"/>
        </w:rPr>
        <w:instrText xml:space="preserve"> HYPERLINK "http://www.childline.org.uk"</w:instrText>
      </w:r>
      <w:r>
        <w:rPr>
          <w:rStyle w:val="Hyperlink.0"/>
        </w:rPr>
        <w:fldChar w:fldCharType="separate" w:fldLock="0"/>
      </w:r>
      <w:r>
        <w:rPr>
          <w:rStyle w:val="Hyperlink.0"/>
          <w:rtl w:val="0"/>
        </w:rPr>
        <w:t>www.childline.org.uk</w:t>
      </w:r>
      <w:r>
        <w:rPr/>
        <w:fldChar w:fldCharType="end" w:fldLock="0"/>
      </w:r>
      <w:r>
        <w:rPr>
          <w:sz w:val="24"/>
          <w:szCs w:val="24"/>
          <w:rtl w:val="0"/>
        </w:rPr>
        <w:t xml:space="preserve"> </w:t>
      </w:r>
    </w:p>
    <w:p>
      <w:pPr>
        <w:pStyle w:val="Body"/>
        <w:jc w:val="both"/>
        <w:rPr>
          <w:sz w:val="24"/>
          <w:szCs w:val="24"/>
        </w:rPr>
      </w:pPr>
      <w:r>
        <w:rPr>
          <w:sz w:val="24"/>
          <w:szCs w:val="24"/>
          <w:rtl w:val="0"/>
          <w:lang w:val="nl-NL"/>
        </w:rPr>
        <w:t xml:space="preserve">Kidscape </w:t>
      </w:r>
      <w:r>
        <w:rPr>
          <w:rStyle w:val="Hyperlink.0"/>
        </w:rPr>
        <w:fldChar w:fldCharType="begin" w:fldLock="0"/>
      </w:r>
      <w:r>
        <w:rPr>
          <w:rStyle w:val="Hyperlink.0"/>
        </w:rPr>
        <w:instrText xml:space="preserve"> HYPERLINK "http://www.kidscape.org.uk"</w:instrText>
      </w:r>
      <w:r>
        <w:rPr>
          <w:rStyle w:val="Hyperlink.0"/>
        </w:rPr>
        <w:fldChar w:fldCharType="separate" w:fldLock="0"/>
      </w:r>
      <w:r>
        <w:rPr>
          <w:rStyle w:val="Hyperlink.0"/>
          <w:rtl w:val="0"/>
          <w:lang w:val="en-US"/>
        </w:rPr>
        <w:t>www.kidscape.org.uk</w:t>
      </w:r>
      <w:r>
        <w:rPr/>
        <w:fldChar w:fldCharType="end" w:fldLock="0"/>
      </w:r>
    </w:p>
    <w:p>
      <w:pPr>
        <w:pStyle w:val="Body"/>
        <w:jc w:val="both"/>
        <w:rPr>
          <w:sz w:val="24"/>
          <w:szCs w:val="24"/>
        </w:rPr>
      </w:pPr>
      <w:r>
        <w:rPr>
          <w:sz w:val="24"/>
          <w:szCs w:val="24"/>
          <w:rtl w:val="0"/>
          <w:lang w:val="en-US"/>
        </w:rPr>
        <w:t xml:space="preserve">Anti-Bullying Alliance </w:t>
      </w:r>
      <w:r>
        <w:rPr>
          <w:rStyle w:val="Hyperlink.0"/>
        </w:rPr>
        <w:fldChar w:fldCharType="begin" w:fldLock="0"/>
      </w:r>
      <w:r>
        <w:rPr>
          <w:rStyle w:val="Hyperlink.0"/>
        </w:rPr>
        <w:instrText xml:space="preserve"> HYPERLINK "http://www.antibullyingalliance.org"</w:instrText>
      </w:r>
      <w:r>
        <w:rPr>
          <w:rStyle w:val="Hyperlink.0"/>
        </w:rPr>
        <w:fldChar w:fldCharType="separate" w:fldLock="0"/>
      </w:r>
      <w:r>
        <w:rPr>
          <w:rStyle w:val="Hyperlink.0"/>
          <w:rtl w:val="0"/>
          <w:lang w:val="en-US"/>
        </w:rPr>
        <w:t>www.antibullyingalliance.org</w:t>
      </w:r>
      <w:r>
        <w:rPr/>
        <w:fldChar w:fldCharType="end" w:fldLock="0"/>
      </w:r>
      <w:r>
        <w:rPr>
          <w:sz w:val="24"/>
          <w:szCs w:val="24"/>
          <w:rtl w:val="0"/>
        </w:rPr>
        <w:t xml:space="preserve"> </w:t>
      </w:r>
    </w:p>
    <w:p>
      <w:pPr>
        <w:pStyle w:val="Body"/>
        <w:tabs>
          <w:tab w:val="left" w:pos="1418"/>
        </w:tabs>
        <w:jc w:val="both"/>
        <w:rPr>
          <w:sz w:val="24"/>
          <w:szCs w:val="24"/>
        </w:rPr>
      </w:pPr>
    </w:p>
    <w:p>
      <w:pPr>
        <w:pStyle w:val="Body"/>
        <w:tabs>
          <w:tab w:val="left" w:pos="1418"/>
        </w:tabs>
        <w:jc w:val="both"/>
        <w:rPr>
          <w:sz w:val="24"/>
          <w:szCs w:val="24"/>
        </w:rPr>
      </w:pPr>
    </w:p>
    <w:p>
      <w:pPr>
        <w:pStyle w:val="Body"/>
        <w:tabs>
          <w:tab w:val="left" w:pos="1418"/>
        </w:tabs>
        <w:jc w:val="both"/>
        <w:rPr>
          <w:sz w:val="24"/>
          <w:szCs w:val="24"/>
        </w:rPr>
      </w:pPr>
      <w:r>
        <w:rPr>
          <w:sz w:val="24"/>
          <w:szCs w:val="24"/>
          <w:rtl w:val="0"/>
          <w:lang w:val="en-US"/>
        </w:rPr>
        <w:t>This policy is reviewed every two years (or earlier if there is a change in national legislation).</w:t>
      </w:r>
    </w:p>
    <w:p>
      <w:pPr>
        <w:pStyle w:val="Body"/>
        <w:tabs>
          <w:tab w:val="left" w:pos="1418"/>
        </w:tabs>
        <w:jc w:val="both"/>
        <w:rPr>
          <w:sz w:val="24"/>
          <w:szCs w:val="24"/>
        </w:rPr>
      </w:pPr>
    </w:p>
    <w:p>
      <w:pPr>
        <w:pStyle w:val="Body"/>
        <w:tabs>
          <w:tab w:val="left" w:pos="1418"/>
        </w:tabs>
        <w:jc w:val="both"/>
        <w:rPr>
          <w:sz w:val="24"/>
          <w:szCs w:val="24"/>
        </w:rPr>
      </w:pPr>
    </w:p>
    <w:p>
      <w:pPr>
        <w:pStyle w:val="Body"/>
        <w:tabs>
          <w:tab w:val="left" w:pos="1418"/>
        </w:tabs>
        <w:jc w:val="both"/>
        <w:rPr>
          <w:sz w:val="24"/>
          <w:szCs w:val="24"/>
        </w:rPr>
      </w:pPr>
      <w:r>
        <w:rPr>
          <w:sz w:val="24"/>
          <w:szCs w:val="24"/>
          <w:rtl w:val="0"/>
          <w:lang w:val="fr-FR"/>
        </w:rPr>
        <w:t xml:space="preserve">Chairperson </w:t>
      </w:r>
      <w:r>
        <w:rPr>
          <w:i w:val="1"/>
          <w:iCs w:val="1"/>
          <w:sz w:val="24"/>
          <w:szCs w:val="24"/>
          <w:shd w:val="clear" w:color="auto" w:fill="ffff00"/>
          <w:rtl w:val="0"/>
          <w:lang w:val="en-US"/>
        </w:rPr>
        <w:t>[insert name]</w:t>
      </w:r>
      <w:r>
        <w:rPr>
          <w:sz w:val="24"/>
          <w:szCs w:val="24"/>
          <w:rtl w:val="0"/>
          <w:lang w:val="de-DE"/>
        </w:rPr>
        <w:t>:</w:t>
        <w:tab/>
        <w:tab/>
        <w:tab/>
        <w:tab/>
        <w:tab/>
        <w:tab/>
        <w:tab/>
        <w:t>Date:</w:t>
      </w:r>
    </w:p>
    <w:p>
      <w:pPr>
        <w:pStyle w:val="Body"/>
        <w:tabs>
          <w:tab w:val="left" w:pos="1418"/>
        </w:tabs>
        <w:jc w:val="both"/>
        <w:rPr>
          <w:sz w:val="24"/>
          <w:szCs w:val="24"/>
        </w:rPr>
      </w:pPr>
    </w:p>
    <w:p>
      <w:pPr>
        <w:pStyle w:val="Default"/>
        <w:tabs>
          <w:tab w:val="left" w:pos="1418"/>
        </w:tabs>
        <w:jc w:val="both"/>
      </w:pPr>
      <w:r>
        <w:rPr>
          <w:rFonts w:ascii="Arial" w:hAnsi="Arial"/>
          <w:rtl w:val="0"/>
          <w:lang w:val="en-US"/>
        </w:rPr>
        <w:t>Welfare Officer / County Safeguarding Officer</w:t>
      </w:r>
      <w:r>
        <w:rPr>
          <w:rFonts w:ascii="Arial" w:hAnsi="Arial"/>
          <w:b w:val="1"/>
          <w:bCs w:val="1"/>
          <w:rtl w:val="0"/>
          <w:lang w:val="en-US"/>
        </w:rPr>
        <w:t xml:space="preserve"> </w:t>
      </w:r>
      <w:r>
        <w:rPr>
          <w:rFonts w:ascii="Arial" w:hAnsi="Arial"/>
          <w:i w:val="1"/>
          <w:iCs w:val="1"/>
          <w:shd w:val="clear" w:color="auto" w:fill="ffff00"/>
          <w:rtl w:val="0"/>
          <w:lang w:val="en-US"/>
        </w:rPr>
        <w:t>[insert name]</w:t>
      </w:r>
      <w:r>
        <w:rPr>
          <w:rFonts w:ascii="Arial" w:hAnsi="Arial"/>
          <w:rtl w:val="0"/>
          <w:lang w:val="en-US"/>
        </w:rPr>
        <w:t xml:space="preserve">: </w:t>
        <w:tab/>
        <w:tab/>
        <w:t>Date:</w:t>
      </w:r>
    </w:p>
    <w:sectPr>
      <w:headerReference w:type="default" r:id="rId4"/>
      <w:footerReference w:type="default" r:id="rId5"/>
      <w:pgSz w:w="11900" w:h="16840" w:orient="portrait"/>
      <w:pgMar w:top="680" w:right="1134" w:bottom="1474" w:left="1134" w:header="45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NSPCC Regular">
    <w:charset w:val="00"/>
    <w:family w:val="roman"/>
    <w:pitch w:val="default"/>
  </w:font>
  <w:font w:name="Courier Ne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Ref."/>
      <w:bidi w:val="0"/>
      <w:ind w:left="993" w:right="0" w:firstLine="3827"/>
      <w:jc w:val="right"/>
      <w:rPr>
        <w:outline w:val="0"/>
        <w:color w:val="185292"/>
        <w:u w:color="185292"/>
        <w:rtl w:val="0"/>
        <w14:textFill>
          <w14:solidFill>
            <w14:srgbClr w14:val="185292"/>
          </w14:solidFill>
        </w14:textFill>
      </w:rPr>
    </w:pPr>
    <w:r>
      <w:rPr>
        <w:outline w:val="0"/>
        <w:color w:val="185292"/>
        <w:u w:color="185292"/>
        <w:shd w:val="nil" w:color="auto" w:fill="auto"/>
        <w:rtl w:val="0"/>
        <w:lang w:val="en-US"/>
        <w14:textFill>
          <w14:solidFill>
            <w14:srgbClr w14:val="185292"/>
          </w14:solidFill>
        </w14:textFill>
      </w:rPr>
      <w:t>15/01/2024</w:t>
    </w:r>
  </w:p>
  <w:p>
    <w:pPr>
      <w:pStyle w:val="footer"/>
    </w:pPr>
    <w:r>
      <w:drawing xmlns:a="http://schemas.openxmlformats.org/drawingml/2006/main">
        <wp:inline distT="0" distB="0" distL="0" distR="0">
          <wp:extent cx="6116193" cy="1245435"/>
          <wp:effectExtent l="0" t="0" r="0" b="0"/>
          <wp:docPr id="1073741825" name="officeArt object" descr="Picture 25"/>
          <wp:cNvGraphicFramePr/>
          <a:graphic xmlns:a="http://schemas.openxmlformats.org/drawingml/2006/main">
            <a:graphicData uri="http://schemas.openxmlformats.org/drawingml/2006/picture">
              <pic:pic xmlns:pic="http://schemas.openxmlformats.org/drawingml/2006/picture">
                <pic:nvPicPr>
                  <pic:cNvPr id="1073741825" name="Picture 25" descr="Picture 25"/>
                  <pic:cNvPicPr>
                    <a:picLocks noChangeAspect="1"/>
                  </pic:cNvPicPr>
                </pic:nvPicPr>
                <pic:blipFill>
                  <a:blip r:embed="rId1">
                    <a:extLst/>
                  </a:blip>
                  <a:stretch>
                    <a:fillRect/>
                  </a:stretch>
                </pic:blipFill>
                <pic:spPr>
                  <a:xfrm>
                    <a:off x="0" y="0"/>
                    <a:ext cx="6116193" cy="1245435"/>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418"/>
        </w:tabs>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8" w:hanging="33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18"/>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18"/>
        </w:tabs>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18"/>
        </w:tabs>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18"/>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18"/>
        </w:tabs>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18"/>
        </w:tabs>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18"/>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Ref.">
    <w:name w:val="Footer Ref."/>
    <w:next w:val="Footer Ref."/>
    <w:pPr>
      <w:keepNext w:val="0"/>
      <w:keepLines w:val="0"/>
      <w:pageBreakBefore w:val="0"/>
      <w:widowControl w:val="1"/>
      <w:shd w:val="clear" w:color="auto" w:fill="auto"/>
      <w:suppressAutoHyphens w:val="0"/>
      <w:bidi w:val="0"/>
      <w:spacing w:before="0" w:after="0" w:line="20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3591"/>
      <w:spacing w:val="0"/>
      <w:kern w:val="0"/>
      <w:position w:val="0"/>
      <w:sz w:val="14"/>
      <w:szCs w:val="14"/>
      <w:u w:val="none" w:color="003591"/>
      <w:shd w:val="nil" w:color="auto" w:fill="auto"/>
      <w:vertAlign w:val="baseline"/>
      <w:lang w:val="en-US"/>
      <w14:textFill>
        <w14:solidFill>
          <w14:srgbClr w14:val="003591"/>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TA Chapter Heading">
    <w:name w:val="LTA Chapter Heading"/>
    <w:next w:val="LTA Chapter Heading"/>
    <w:pPr>
      <w:keepNext w:val="0"/>
      <w:keepLines w:val="0"/>
      <w:pageBreakBefore w:val="0"/>
      <w:widowControl w:val="1"/>
      <w:shd w:val="clear" w:color="auto" w:fill="auto"/>
      <w:suppressAutoHyphens w:val="0"/>
      <w:bidi w:val="0"/>
      <w:spacing w:before="0" w:after="560" w:line="204" w:lineRule="auto"/>
      <w:ind w:left="0" w:right="0" w:firstLine="0"/>
      <w:jc w:val="left"/>
      <w:outlineLvl w:val="9"/>
    </w:pPr>
    <w:rPr>
      <w:rFonts w:ascii="Impact" w:cs="Arial Unicode MS" w:hAnsi="Impact" w:eastAsia="Arial Unicode MS"/>
      <w:b w:val="0"/>
      <w:bCs w:val="0"/>
      <w:i w:val="0"/>
      <w:iCs w:val="0"/>
      <w:caps w:val="1"/>
      <w:strike w:val="0"/>
      <w:dstrike w:val="0"/>
      <w:outline w:val="0"/>
      <w:color w:val="16316f"/>
      <w:spacing w:val="0"/>
      <w:kern w:val="0"/>
      <w:position w:val="0"/>
      <w:sz w:val="36"/>
      <w:szCs w:val="36"/>
      <w:u w:val="none" w:color="16316f"/>
      <w:shd w:val="nil" w:color="auto" w:fill="auto"/>
      <w:vertAlign w:val="baseline"/>
      <w:lang w:val="en-US"/>
      <w14:textFill>
        <w14:solidFill>
          <w14:srgbClr w14:val="16316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SPCC Regular" w:cs="NSPCC Regular" w:hAnsi="NSPCC Regular" w:eastAsia="NSPCC Regular"/>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